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79" w:rsidRPr="00007F2A" w:rsidRDefault="00547879" w:rsidP="00547879">
      <w:pPr>
        <w:pStyle w:val="Ttulo1"/>
        <w:spacing w:line="240" w:lineRule="auto"/>
        <w:ind w:left="142" w:right="85"/>
        <w:rPr>
          <w:rFonts w:cs="Arial"/>
          <w:sz w:val="22"/>
          <w:szCs w:val="22"/>
        </w:rPr>
      </w:pPr>
      <w:r w:rsidRPr="00007F2A">
        <w:rPr>
          <w:rFonts w:cs="Arial"/>
          <w:sz w:val="22"/>
          <w:szCs w:val="22"/>
        </w:rPr>
        <w:t>MEMORIAL DESCRITIVO</w:t>
      </w:r>
    </w:p>
    <w:p w:rsidR="00547879" w:rsidRPr="00007F2A" w:rsidRDefault="00547879" w:rsidP="00547879">
      <w:pPr>
        <w:rPr>
          <w:rFonts w:ascii="Arial" w:hAnsi="Arial" w:cs="Arial"/>
          <w:sz w:val="22"/>
          <w:szCs w:val="22"/>
        </w:rPr>
      </w:pPr>
    </w:p>
    <w:p w:rsidR="00547879" w:rsidRPr="00007F2A" w:rsidRDefault="00547879" w:rsidP="00547879">
      <w:pPr>
        <w:pStyle w:val="Ttulo2"/>
        <w:spacing w:line="336" w:lineRule="auto"/>
        <w:ind w:left="142" w:right="85"/>
        <w:jc w:val="both"/>
        <w:rPr>
          <w:rFonts w:cs="Arial"/>
          <w:szCs w:val="22"/>
        </w:rPr>
      </w:pPr>
      <w:r w:rsidRPr="00007F2A">
        <w:rPr>
          <w:rFonts w:cs="Arial"/>
          <w:szCs w:val="22"/>
        </w:rPr>
        <w:t xml:space="preserve">OBRA: </w:t>
      </w:r>
      <w:r>
        <w:rPr>
          <w:rFonts w:cs="Arial"/>
          <w:szCs w:val="22"/>
        </w:rPr>
        <w:t>Pavimentação Asfáltica sobre Poliédricos</w:t>
      </w:r>
    </w:p>
    <w:p w:rsidR="00547879" w:rsidRPr="00007F2A" w:rsidRDefault="00547879" w:rsidP="00547879">
      <w:pPr>
        <w:tabs>
          <w:tab w:val="left" w:pos="2580"/>
        </w:tabs>
        <w:spacing w:line="336" w:lineRule="auto"/>
        <w:ind w:left="142" w:right="85"/>
        <w:jc w:val="both"/>
        <w:rPr>
          <w:rFonts w:ascii="Arial" w:hAnsi="Arial" w:cs="Arial"/>
          <w:b/>
          <w:sz w:val="22"/>
          <w:szCs w:val="22"/>
        </w:rPr>
      </w:pPr>
      <w:r w:rsidRPr="00007F2A">
        <w:rPr>
          <w:rFonts w:ascii="Arial" w:hAnsi="Arial" w:cs="Arial"/>
          <w:b/>
          <w:sz w:val="22"/>
          <w:szCs w:val="22"/>
        </w:rPr>
        <w:t xml:space="preserve">Local: </w:t>
      </w:r>
      <w:r w:rsidRPr="00B94907">
        <w:rPr>
          <w:rFonts w:ascii="Arial" w:hAnsi="Arial" w:cs="Arial"/>
          <w:b/>
          <w:sz w:val="22"/>
          <w:szCs w:val="22"/>
        </w:rPr>
        <w:t>T</w:t>
      </w:r>
      <w:r>
        <w:rPr>
          <w:rFonts w:ascii="Arial" w:hAnsi="Arial" w:cs="Arial"/>
          <w:b/>
          <w:sz w:val="22"/>
          <w:szCs w:val="22"/>
        </w:rPr>
        <w:t>recho da Estrada Vicinal MP-010, com início</w:t>
      </w:r>
      <w:r w:rsidR="00B94E55">
        <w:rPr>
          <w:rFonts w:ascii="Arial" w:hAnsi="Arial" w:cs="Arial"/>
          <w:b/>
          <w:sz w:val="22"/>
          <w:szCs w:val="22"/>
        </w:rPr>
        <w:t xml:space="preserve"> próximo a</w:t>
      </w:r>
      <w:r>
        <w:rPr>
          <w:rFonts w:ascii="Arial" w:hAnsi="Arial" w:cs="Arial"/>
          <w:b/>
          <w:sz w:val="22"/>
          <w:szCs w:val="22"/>
        </w:rPr>
        <w:t xml:space="preserve"> PR-280, sentido a Comunidade São Pedro</w:t>
      </w:r>
    </w:p>
    <w:p w:rsidR="00547879" w:rsidRPr="00007F2A" w:rsidRDefault="00547879" w:rsidP="00547879">
      <w:pPr>
        <w:spacing w:line="336" w:lineRule="auto"/>
        <w:ind w:left="142" w:right="85"/>
        <w:jc w:val="both"/>
        <w:rPr>
          <w:rFonts w:ascii="Arial" w:hAnsi="Arial" w:cs="Arial"/>
          <w:b/>
          <w:sz w:val="22"/>
          <w:szCs w:val="22"/>
        </w:rPr>
      </w:pPr>
      <w:r w:rsidRPr="00007F2A">
        <w:rPr>
          <w:rFonts w:ascii="Arial" w:hAnsi="Arial" w:cs="Arial"/>
          <w:b/>
          <w:sz w:val="22"/>
          <w:szCs w:val="22"/>
        </w:rPr>
        <w:t xml:space="preserve">MUNICÍPIO / UF: </w:t>
      </w:r>
      <w:r>
        <w:rPr>
          <w:rFonts w:ascii="Arial" w:hAnsi="Arial" w:cs="Arial"/>
          <w:b/>
          <w:sz w:val="22"/>
          <w:szCs w:val="22"/>
        </w:rPr>
        <w:t>Mariópolis</w:t>
      </w:r>
      <w:r w:rsidRPr="00007F2A">
        <w:rPr>
          <w:rFonts w:ascii="Arial" w:hAnsi="Arial" w:cs="Arial"/>
          <w:b/>
          <w:sz w:val="22"/>
          <w:szCs w:val="22"/>
        </w:rPr>
        <w:t xml:space="preserve"> / Paraná</w:t>
      </w:r>
    </w:p>
    <w:p w:rsidR="00547879" w:rsidRPr="00007F2A" w:rsidRDefault="00547879" w:rsidP="00547879">
      <w:pPr>
        <w:spacing w:line="336" w:lineRule="auto"/>
        <w:ind w:left="142" w:right="85"/>
        <w:jc w:val="both"/>
        <w:rPr>
          <w:rFonts w:ascii="Arial" w:hAnsi="Arial" w:cs="Arial"/>
          <w:b/>
          <w:sz w:val="22"/>
          <w:szCs w:val="22"/>
        </w:rPr>
      </w:pPr>
      <w:r w:rsidRPr="00007F2A">
        <w:rPr>
          <w:rFonts w:ascii="Arial" w:hAnsi="Arial" w:cs="Arial"/>
          <w:b/>
          <w:sz w:val="22"/>
          <w:szCs w:val="22"/>
        </w:rPr>
        <w:t xml:space="preserve">ÁREA: </w:t>
      </w:r>
      <w:r>
        <w:rPr>
          <w:rFonts w:ascii="Arial" w:hAnsi="Arial" w:cs="Arial"/>
          <w:b/>
          <w:sz w:val="22"/>
          <w:szCs w:val="22"/>
        </w:rPr>
        <w:t>33.600,00</w:t>
      </w:r>
      <w:r w:rsidRPr="00007F2A">
        <w:rPr>
          <w:rFonts w:ascii="Arial" w:hAnsi="Arial" w:cs="Arial"/>
          <w:b/>
          <w:sz w:val="22"/>
          <w:szCs w:val="22"/>
        </w:rPr>
        <w:t>m²</w:t>
      </w:r>
    </w:p>
    <w:p w:rsidR="00547879" w:rsidRPr="00007F2A" w:rsidRDefault="00547879" w:rsidP="00547879">
      <w:pPr>
        <w:spacing w:line="336" w:lineRule="auto"/>
        <w:ind w:left="142" w:right="85"/>
        <w:jc w:val="both"/>
        <w:rPr>
          <w:rFonts w:ascii="Arial" w:hAnsi="Arial" w:cs="Arial"/>
          <w:b/>
          <w:sz w:val="22"/>
          <w:szCs w:val="22"/>
        </w:rPr>
      </w:pP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t>OBSERVAÇÕES PRELIMINARES</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Quando houver dúvidas nos projetos, nas especificações, no memorial deverão ser consultados a FISCALIZAÇÃO e o engenheiro projetista para as definições.</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xml:space="preserve">Todos os serviços subempreitados, desde que com autorização prévia do departamento de engenharia da Prefeitura Municipal, deverão ter ART de execução com comprovante de pagamento. </w:t>
      </w:r>
    </w:p>
    <w:p w:rsidR="00547879" w:rsidRPr="00007F2A" w:rsidRDefault="00547879" w:rsidP="00547879">
      <w:pPr>
        <w:spacing w:line="336" w:lineRule="auto"/>
        <w:ind w:left="142"/>
        <w:jc w:val="both"/>
        <w:rPr>
          <w:rFonts w:ascii="Arial" w:hAnsi="Arial" w:cs="Arial"/>
          <w:b/>
          <w:sz w:val="21"/>
          <w:szCs w:val="21"/>
        </w:rPr>
      </w:pP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t>OBJETO DA CONTRATAÇÃO</w:t>
      </w:r>
    </w:p>
    <w:p w:rsidR="00547879" w:rsidRPr="00DA10A9"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Execução de serviço de pavimentação asfáltica em CBUQ sobre pedras irregulares, em trecho da</w:t>
      </w:r>
      <w:r>
        <w:rPr>
          <w:rFonts w:ascii="Arial" w:hAnsi="Arial" w:cs="Arial"/>
          <w:sz w:val="21"/>
          <w:szCs w:val="21"/>
        </w:rPr>
        <w:t xml:space="preserve"> Estrada Vicinal MP-010, com</w:t>
      </w:r>
      <w:r w:rsidR="00BB3EC2">
        <w:rPr>
          <w:rFonts w:ascii="Arial" w:hAnsi="Arial" w:cs="Arial"/>
          <w:sz w:val="21"/>
          <w:szCs w:val="21"/>
        </w:rPr>
        <w:t xml:space="preserve"> próximo </w:t>
      </w:r>
      <w:r>
        <w:rPr>
          <w:rFonts w:ascii="Arial" w:hAnsi="Arial" w:cs="Arial"/>
          <w:sz w:val="21"/>
          <w:szCs w:val="21"/>
        </w:rPr>
        <w:t>a PR-280, sentido a Comunidade São Pedro</w:t>
      </w:r>
      <w:r w:rsidRPr="00DA10A9">
        <w:rPr>
          <w:rFonts w:ascii="Arial" w:hAnsi="Arial" w:cs="Arial"/>
          <w:sz w:val="21"/>
          <w:szCs w:val="21"/>
        </w:rPr>
        <w:t>, os serviços de pavimentação serão executados conforme a indicação abaixo, a pavimentação deverá ser executada em uma única etapa.</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A finalidade do projeto é apresentar soluções para a melhoria do tráfego</w:t>
      </w:r>
      <w:r>
        <w:rPr>
          <w:rFonts w:ascii="Arial" w:hAnsi="Arial" w:cs="Arial"/>
          <w:sz w:val="21"/>
          <w:szCs w:val="21"/>
        </w:rPr>
        <w:t>, escoamento da safra e por este trecho o município utiliza para o transporte escolar</w:t>
      </w:r>
      <w:r w:rsidRPr="00007F2A">
        <w:rPr>
          <w:rFonts w:ascii="Arial" w:hAnsi="Arial" w:cs="Arial"/>
          <w:sz w:val="21"/>
          <w:szCs w:val="21"/>
        </w:rPr>
        <w:t>.</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xml:space="preserve">Foi adotado para </w:t>
      </w:r>
      <w:r>
        <w:rPr>
          <w:rFonts w:ascii="Arial" w:hAnsi="Arial" w:cs="Arial"/>
          <w:sz w:val="21"/>
          <w:szCs w:val="21"/>
        </w:rPr>
        <w:t>o trecho da Estrada Vicinal MP-010</w:t>
      </w:r>
      <w:r w:rsidRPr="00007F2A">
        <w:rPr>
          <w:rFonts w:ascii="Arial" w:hAnsi="Arial" w:cs="Arial"/>
          <w:sz w:val="21"/>
          <w:szCs w:val="21"/>
        </w:rPr>
        <w:t>,</w:t>
      </w:r>
      <w:r>
        <w:rPr>
          <w:rFonts w:ascii="Arial" w:hAnsi="Arial" w:cs="Arial"/>
          <w:sz w:val="21"/>
          <w:szCs w:val="21"/>
        </w:rPr>
        <w:t xml:space="preserve"> uma regularização da base de 15 cm de brita graduada compactada e de capa em CBUQ com</w:t>
      </w:r>
      <w:r w:rsidRPr="00007F2A">
        <w:rPr>
          <w:rFonts w:ascii="Arial" w:hAnsi="Arial" w:cs="Arial"/>
          <w:sz w:val="21"/>
          <w:szCs w:val="21"/>
        </w:rPr>
        <w:t xml:space="preserve"> espessura de </w:t>
      </w:r>
      <w:r>
        <w:rPr>
          <w:rFonts w:ascii="Arial" w:hAnsi="Arial" w:cs="Arial"/>
          <w:sz w:val="21"/>
          <w:szCs w:val="21"/>
        </w:rPr>
        <w:t>5</w:t>
      </w:r>
      <w:r w:rsidRPr="00007F2A">
        <w:rPr>
          <w:rFonts w:ascii="Arial" w:hAnsi="Arial" w:cs="Arial"/>
          <w:sz w:val="21"/>
          <w:szCs w:val="21"/>
        </w:rPr>
        <w:t>cm.</w:t>
      </w: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lastRenderedPageBreak/>
        <w:t>PAVIMENTAÇÃO</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A base da pavimentação já existe é composto p</w:t>
      </w:r>
      <w:r>
        <w:rPr>
          <w:rFonts w:ascii="Arial" w:hAnsi="Arial" w:cs="Arial"/>
          <w:sz w:val="21"/>
          <w:szCs w:val="21"/>
        </w:rPr>
        <w:t>or pedras irregulares em todo o trecho a ser pavimentado</w:t>
      </w:r>
      <w:r w:rsidRPr="00007F2A">
        <w:rPr>
          <w:rFonts w:ascii="Arial" w:hAnsi="Arial" w:cs="Arial"/>
          <w:sz w:val="21"/>
          <w:szCs w:val="21"/>
        </w:rPr>
        <w:t xml:space="preserve"> com CBUQ.</w:t>
      </w:r>
    </w:p>
    <w:p w:rsidR="00547879" w:rsidRPr="00007F2A" w:rsidRDefault="00547879" w:rsidP="00547879">
      <w:pPr>
        <w:spacing w:line="336" w:lineRule="auto"/>
        <w:ind w:left="142"/>
        <w:jc w:val="both"/>
        <w:rPr>
          <w:rFonts w:ascii="Arial" w:hAnsi="Arial" w:cs="Arial"/>
          <w:sz w:val="21"/>
          <w:szCs w:val="21"/>
        </w:rPr>
      </w:pPr>
    </w:p>
    <w:p w:rsidR="00547879" w:rsidRPr="00007F2A" w:rsidRDefault="00547879" w:rsidP="00547879">
      <w:pPr>
        <w:spacing w:line="336" w:lineRule="auto"/>
        <w:ind w:left="142"/>
        <w:jc w:val="both"/>
        <w:rPr>
          <w:rFonts w:ascii="Arial" w:hAnsi="Arial" w:cs="Arial"/>
          <w:b/>
          <w:sz w:val="21"/>
          <w:szCs w:val="21"/>
        </w:rPr>
      </w:pPr>
      <w:r w:rsidRPr="00007F2A">
        <w:rPr>
          <w:rFonts w:ascii="Arial" w:hAnsi="Arial" w:cs="Arial"/>
          <w:b/>
          <w:sz w:val="21"/>
          <w:szCs w:val="21"/>
        </w:rPr>
        <w:tab/>
        <w:t xml:space="preserve">3.1. </w:t>
      </w:r>
      <w:r>
        <w:rPr>
          <w:rFonts w:ascii="Arial" w:hAnsi="Arial" w:cs="Arial"/>
          <w:b/>
          <w:sz w:val="21"/>
          <w:szCs w:val="21"/>
        </w:rPr>
        <w:t>Estrada Vicinal</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r>
      <w:r>
        <w:rPr>
          <w:rFonts w:ascii="Arial" w:hAnsi="Arial" w:cs="Arial"/>
          <w:sz w:val="21"/>
          <w:szCs w:val="21"/>
        </w:rPr>
        <w:t>O trecho a ser recapeado será regularizado com 15 cm de brita graduada para deixar a base regularizada e adequada para receber a pavimentação em</w:t>
      </w:r>
      <w:r w:rsidRPr="00007F2A">
        <w:rPr>
          <w:rFonts w:ascii="Arial" w:hAnsi="Arial" w:cs="Arial"/>
          <w:sz w:val="21"/>
          <w:szCs w:val="21"/>
        </w:rPr>
        <w:t xml:space="preserve"> CBUQ, </w:t>
      </w:r>
      <w:r>
        <w:rPr>
          <w:rFonts w:ascii="Arial" w:hAnsi="Arial" w:cs="Arial"/>
          <w:sz w:val="21"/>
          <w:szCs w:val="21"/>
        </w:rPr>
        <w:t>com capa de</w:t>
      </w:r>
      <w:r w:rsidRPr="00007F2A">
        <w:rPr>
          <w:rFonts w:ascii="Arial" w:hAnsi="Arial" w:cs="Arial"/>
          <w:sz w:val="21"/>
          <w:szCs w:val="21"/>
        </w:rPr>
        <w:t xml:space="preserve"> </w:t>
      </w:r>
      <w:r>
        <w:rPr>
          <w:rFonts w:ascii="Arial" w:hAnsi="Arial" w:cs="Arial"/>
          <w:sz w:val="21"/>
          <w:szCs w:val="21"/>
        </w:rPr>
        <w:t>5</w:t>
      </w:r>
      <w:r w:rsidRPr="00007F2A">
        <w:rPr>
          <w:rFonts w:ascii="Arial" w:hAnsi="Arial" w:cs="Arial"/>
          <w:sz w:val="21"/>
          <w:szCs w:val="21"/>
        </w:rPr>
        <w:t>cm de espessura.</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As delimitações das vias serão através da pintura das faixas contínuas.</w:t>
      </w:r>
    </w:p>
    <w:p w:rsidR="00547879"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A pavimentação asfáltica em CBUQ a ser executada será composta das seguintes fases:</w:t>
      </w:r>
    </w:p>
    <w:p w:rsidR="00547879" w:rsidRPr="00007F2A" w:rsidRDefault="00547879" w:rsidP="00547879">
      <w:pPr>
        <w:spacing w:line="336" w:lineRule="auto"/>
        <w:ind w:left="142"/>
        <w:jc w:val="both"/>
        <w:rPr>
          <w:rFonts w:ascii="Arial" w:hAnsi="Arial" w:cs="Arial"/>
          <w:sz w:val="21"/>
          <w:szCs w:val="21"/>
        </w:rPr>
      </w:pPr>
      <w:r>
        <w:rPr>
          <w:rFonts w:ascii="Arial" w:hAnsi="Arial" w:cs="Arial"/>
          <w:sz w:val="21"/>
          <w:szCs w:val="21"/>
        </w:rPr>
        <w:tab/>
        <w:t>- Limpeza dos bordos da estrada;</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xml:space="preserve">- </w:t>
      </w:r>
      <w:r>
        <w:rPr>
          <w:rFonts w:ascii="Arial" w:hAnsi="Arial" w:cs="Arial"/>
          <w:sz w:val="21"/>
          <w:szCs w:val="21"/>
        </w:rPr>
        <w:t>Aplicação da brita graduada, espessura de 15cm compactada, com largura de 6,</w:t>
      </w:r>
      <w:r w:rsidR="00BB3EC2">
        <w:rPr>
          <w:rFonts w:ascii="Arial" w:hAnsi="Arial" w:cs="Arial"/>
          <w:sz w:val="21"/>
          <w:szCs w:val="21"/>
        </w:rPr>
        <w:t>85</w:t>
      </w:r>
      <w:r>
        <w:rPr>
          <w:rFonts w:ascii="Arial" w:hAnsi="Arial" w:cs="Arial"/>
          <w:sz w:val="21"/>
          <w:szCs w:val="21"/>
        </w:rPr>
        <w:t>m</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xml:space="preserve">- </w:t>
      </w:r>
      <w:r>
        <w:rPr>
          <w:rFonts w:ascii="Arial" w:hAnsi="Arial" w:cs="Arial"/>
          <w:sz w:val="21"/>
          <w:szCs w:val="21"/>
        </w:rPr>
        <w:t>Imprimação com CM-30, com largura de 6,</w:t>
      </w:r>
      <w:r w:rsidR="00BB3EC2">
        <w:rPr>
          <w:rFonts w:ascii="Arial" w:hAnsi="Arial" w:cs="Arial"/>
          <w:sz w:val="21"/>
          <w:szCs w:val="21"/>
        </w:rPr>
        <w:t>85</w:t>
      </w:r>
      <w:r>
        <w:rPr>
          <w:rFonts w:ascii="Arial" w:hAnsi="Arial" w:cs="Arial"/>
          <w:sz w:val="21"/>
          <w:szCs w:val="21"/>
        </w:rPr>
        <w:t>m</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Pintura de ligação RR-1C, para execução d</w:t>
      </w:r>
      <w:r>
        <w:rPr>
          <w:rFonts w:ascii="Arial" w:hAnsi="Arial" w:cs="Arial"/>
          <w:sz w:val="21"/>
          <w:szCs w:val="21"/>
        </w:rPr>
        <w:t>a</w:t>
      </w:r>
      <w:r w:rsidRPr="00007F2A">
        <w:rPr>
          <w:rFonts w:ascii="Arial" w:hAnsi="Arial" w:cs="Arial"/>
          <w:sz w:val="21"/>
          <w:szCs w:val="21"/>
        </w:rPr>
        <w:t xml:space="preserve"> </w:t>
      </w:r>
      <w:r>
        <w:rPr>
          <w:rFonts w:ascii="Arial" w:hAnsi="Arial" w:cs="Arial"/>
          <w:sz w:val="21"/>
          <w:szCs w:val="21"/>
        </w:rPr>
        <w:t>capa</w:t>
      </w:r>
      <w:r w:rsidRPr="00007F2A">
        <w:rPr>
          <w:rFonts w:ascii="Arial" w:hAnsi="Arial" w:cs="Arial"/>
          <w:sz w:val="21"/>
          <w:szCs w:val="21"/>
        </w:rPr>
        <w:t xml:space="preserve"> em CBUQ</w:t>
      </w:r>
      <w:r>
        <w:rPr>
          <w:rFonts w:ascii="Arial" w:hAnsi="Arial" w:cs="Arial"/>
          <w:sz w:val="21"/>
          <w:szCs w:val="21"/>
        </w:rPr>
        <w:t>, com largura de 6,</w:t>
      </w:r>
      <w:r w:rsidR="00BB3EC2">
        <w:rPr>
          <w:rFonts w:ascii="Arial" w:hAnsi="Arial" w:cs="Arial"/>
          <w:sz w:val="21"/>
          <w:szCs w:val="21"/>
        </w:rPr>
        <w:t>0</w:t>
      </w:r>
      <w:r>
        <w:rPr>
          <w:rFonts w:ascii="Arial" w:hAnsi="Arial" w:cs="Arial"/>
          <w:sz w:val="21"/>
          <w:szCs w:val="21"/>
        </w:rPr>
        <w:t>0 metros</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xml:space="preserve">- Execução da capa asfáltica em CBUQ, espessura de </w:t>
      </w:r>
      <w:r>
        <w:rPr>
          <w:rFonts w:ascii="Arial" w:hAnsi="Arial" w:cs="Arial"/>
          <w:sz w:val="21"/>
          <w:szCs w:val="21"/>
        </w:rPr>
        <w:t>5</w:t>
      </w:r>
      <w:r w:rsidRPr="00007F2A">
        <w:rPr>
          <w:rFonts w:ascii="Arial" w:hAnsi="Arial" w:cs="Arial"/>
          <w:sz w:val="21"/>
          <w:szCs w:val="21"/>
        </w:rPr>
        <w:t>cm,</w:t>
      </w:r>
      <w:r>
        <w:rPr>
          <w:rFonts w:ascii="Arial" w:hAnsi="Arial" w:cs="Arial"/>
          <w:sz w:val="21"/>
          <w:szCs w:val="21"/>
        </w:rPr>
        <w:t xml:space="preserve"> com largura de 6,0 metros</w:t>
      </w:r>
    </w:p>
    <w:p w:rsidR="00547879"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Execução da pintura das faixas de sinalização horizontal</w:t>
      </w:r>
    </w:p>
    <w:p w:rsidR="00547879" w:rsidRPr="00007F2A" w:rsidRDefault="00547879" w:rsidP="00547879">
      <w:pPr>
        <w:spacing w:line="336" w:lineRule="auto"/>
        <w:ind w:left="142"/>
        <w:jc w:val="both"/>
        <w:rPr>
          <w:rFonts w:ascii="Arial" w:hAnsi="Arial" w:cs="Arial"/>
          <w:sz w:val="21"/>
          <w:szCs w:val="21"/>
        </w:rPr>
      </w:pPr>
      <w:r>
        <w:rPr>
          <w:rFonts w:ascii="Arial" w:hAnsi="Arial" w:cs="Arial"/>
          <w:sz w:val="21"/>
          <w:szCs w:val="21"/>
        </w:rPr>
        <w:tab/>
        <w:t>- Instalação das placas de advertência e regulamentação ao longo do trecho.</w:t>
      </w:r>
    </w:p>
    <w:p w:rsidR="00547879" w:rsidRPr="00007F2A" w:rsidRDefault="00547879" w:rsidP="00547879">
      <w:pPr>
        <w:spacing w:line="336" w:lineRule="auto"/>
        <w:ind w:left="142"/>
        <w:jc w:val="both"/>
        <w:rPr>
          <w:rFonts w:ascii="Arial" w:hAnsi="Arial" w:cs="Arial"/>
          <w:sz w:val="21"/>
          <w:szCs w:val="21"/>
        </w:rPr>
      </w:pP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t>IMPRIMAÇÃO</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Consiste na aplicação de uma camada de material betuminoso</w:t>
      </w:r>
      <w:r>
        <w:rPr>
          <w:rFonts w:ascii="Arial" w:hAnsi="Arial" w:cs="Arial"/>
          <w:sz w:val="21"/>
          <w:szCs w:val="21"/>
        </w:rPr>
        <w:t>,</w:t>
      </w:r>
      <w:r w:rsidR="00A1756C">
        <w:rPr>
          <w:rFonts w:ascii="Arial" w:hAnsi="Arial" w:cs="Arial"/>
          <w:sz w:val="21"/>
          <w:szCs w:val="21"/>
        </w:rPr>
        <w:t xml:space="preserve"> o ligante utilizado para execução do serviço será o </w:t>
      </w:r>
      <w:r>
        <w:rPr>
          <w:rFonts w:ascii="Arial" w:hAnsi="Arial" w:cs="Arial"/>
          <w:sz w:val="21"/>
          <w:szCs w:val="21"/>
        </w:rPr>
        <w:t>CM-30,</w:t>
      </w:r>
      <w:r w:rsidRPr="00007F2A">
        <w:rPr>
          <w:rFonts w:ascii="Arial" w:hAnsi="Arial" w:cs="Arial"/>
          <w:sz w:val="21"/>
          <w:szCs w:val="21"/>
        </w:rPr>
        <w:t xml:space="preserve"> sobre a superfície de base concluída, antes da execução do revestimento betuminoso, com finalidade de aumentar a coesão da superfície da base, pela penetração do material betuminoso empregado, bem como promover condições de aderência entre a base e o revestimento e impermeabilizar a base.</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A distribuição do ligante deve ser feita por carros equipados com bomba reguladora de pressão e sistema completa de aquecimento, que permitam a aplicação do material betuminoso em quantidade uniforme.</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Executada sobre camada de base do revestimento existente, RR-1C. A taxa</w:t>
      </w:r>
      <w:r w:rsidR="00A1756C">
        <w:rPr>
          <w:rFonts w:ascii="Arial" w:hAnsi="Arial" w:cs="Arial"/>
          <w:sz w:val="21"/>
          <w:szCs w:val="21"/>
        </w:rPr>
        <w:t xml:space="preserve"> utilizada para</w:t>
      </w:r>
      <w:r w:rsidRPr="00007F2A">
        <w:rPr>
          <w:rFonts w:ascii="Arial" w:hAnsi="Arial" w:cs="Arial"/>
          <w:sz w:val="21"/>
          <w:szCs w:val="21"/>
        </w:rPr>
        <w:t xml:space="preserve"> trabalho </w:t>
      </w:r>
      <w:r w:rsidR="00A1756C">
        <w:rPr>
          <w:rFonts w:ascii="Arial" w:hAnsi="Arial" w:cs="Arial"/>
          <w:sz w:val="21"/>
          <w:szCs w:val="21"/>
        </w:rPr>
        <w:t>será de</w:t>
      </w:r>
      <w:r w:rsidRPr="00007F2A">
        <w:rPr>
          <w:rFonts w:ascii="Arial" w:hAnsi="Arial" w:cs="Arial"/>
          <w:sz w:val="21"/>
          <w:szCs w:val="21"/>
        </w:rPr>
        <w:t xml:space="preserve"> </w:t>
      </w:r>
      <w:r w:rsidR="00BB3EC2">
        <w:rPr>
          <w:rFonts w:ascii="Arial" w:hAnsi="Arial" w:cs="Arial"/>
          <w:sz w:val="21"/>
          <w:szCs w:val="21"/>
        </w:rPr>
        <w:t>0</w:t>
      </w:r>
      <w:r w:rsidRPr="00007F2A">
        <w:rPr>
          <w:rFonts w:ascii="Arial" w:hAnsi="Arial" w:cs="Arial"/>
          <w:sz w:val="21"/>
          <w:szCs w:val="21"/>
        </w:rPr>
        <w:t>,</w:t>
      </w:r>
      <w:r w:rsidR="00BB3EC2">
        <w:rPr>
          <w:rFonts w:ascii="Arial" w:hAnsi="Arial" w:cs="Arial"/>
          <w:sz w:val="21"/>
          <w:szCs w:val="21"/>
        </w:rPr>
        <w:t>5</w:t>
      </w:r>
      <w:r>
        <w:rPr>
          <w:rFonts w:ascii="Arial" w:hAnsi="Arial" w:cs="Arial"/>
          <w:sz w:val="21"/>
          <w:szCs w:val="21"/>
        </w:rPr>
        <w:t xml:space="preserve"> </w:t>
      </w:r>
      <w:r w:rsidRPr="00007F2A">
        <w:rPr>
          <w:rFonts w:ascii="Arial" w:hAnsi="Arial" w:cs="Arial"/>
          <w:sz w:val="21"/>
          <w:szCs w:val="21"/>
        </w:rPr>
        <w:t>l/m², tornando-se os parâmetros recomendados pela</w:t>
      </w:r>
      <w:r w:rsidR="00A1756C">
        <w:rPr>
          <w:rFonts w:ascii="Arial" w:hAnsi="Arial" w:cs="Arial"/>
          <w:sz w:val="21"/>
          <w:szCs w:val="21"/>
        </w:rPr>
        <w:t>s</w:t>
      </w:r>
      <w:r w:rsidRPr="00007F2A">
        <w:rPr>
          <w:rFonts w:ascii="Arial" w:hAnsi="Arial" w:cs="Arial"/>
          <w:sz w:val="21"/>
          <w:szCs w:val="21"/>
        </w:rPr>
        <w:t xml:space="preserve"> </w:t>
      </w:r>
      <w:r w:rsidR="00A1756C">
        <w:rPr>
          <w:rFonts w:ascii="Arial" w:hAnsi="Arial" w:cs="Arial"/>
          <w:sz w:val="21"/>
          <w:szCs w:val="21"/>
        </w:rPr>
        <w:t>especificações de serviço do DNER/PR ES-P 17/17.</w:t>
      </w:r>
    </w:p>
    <w:p w:rsidR="00547879" w:rsidRPr="00007F2A" w:rsidRDefault="00547879" w:rsidP="00547879">
      <w:pPr>
        <w:spacing w:line="336" w:lineRule="auto"/>
        <w:ind w:left="142"/>
        <w:jc w:val="both"/>
        <w:rPr>
          <w:rFonts w:ascii="Arial" w:hAnsi="Arial" w:cs="Arial"/>
          <w:sz w:val="21"/>
          <w:szCs w:val="21"/>
        </w:rPr>
      </w:pP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t>CONCRETO BETUMINOSO USINADO A QUENTE - CBUQ</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O concreto betuminoso consistirá de uma camada de mistura compreendendo agregado, asfalto e filler devidamente dosada, misturada e homogeneizada em usina, espalhada e comprimida a quente.</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Sobre a base imprimada, a mistura será espalhada, de modo a apresentar, quando comprimida, a espessura do projeto.</w:t>
      </w:r>
    </w:p>
    <w:p w:rsidR="00547879" w:rsidRPr="00007F2A" w:rsidRDefault="00547879" w:rsidP="00547879">
      <w:pPr>
        <w:spacing w:line="336" w:lineRule="auto"/>
        <w:jc w:val="both"/>
        <w:rPr>
          <w:rFonts w:ascii="Arial" w:hAnsi="Arial" w:cs="Arial"/>
          <w:b/>
          <w:sz w:val="21"/>
          <w:szCs w:val="21"/>
        </w:rPr>
      </w:pP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xml:space="preserve">- Espessura capa de </w:t>
      </w:r>
      <w:r>
        <w:rPr>
          <w:rFonts w:ascii="Arial" w:hAnsi="Arial" w:cs="Arial"/>
          <w:sz w:val="21"/>
          <w:szCs w:val="21"/>
        </w:rPr>
        <w:t>5cm, aplicado em toda extensão do trecho e com largura de 6,0 metros.</w:t>
      </w:r>
    </w:p>
    <w:p w:rsidR="00547879" w:rsidRPr="00007F2A" w:rsidRDefault="00547879" w:rsidP="00547879">
      <w:pPr>
        <w:spacing w:line="336" w:lineRule="auto"/>
        <w:ind w:left="142"/>
        <w:jc w:val="both"/>
        <w:rPr>
          <w:rFonts w:ascii="Arial" w:hAnsi="Arial" w:cs="Arial"/>
          <w:sz w:val="21"/>
          <w:szCs w:val="21"/>
        </w:rPr>
      </w:pP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As misturas devem atender às especificações da relação betume/vazios ou aos valores mínimos de vazios do agregado mineral, dados pela linha inclinada do ábaco página 4/9 DNER-ES-P 22-71 das Especificações Gerais Para Obras Rodoviárias do DNER.</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xml:space="preserve"> O equipamento para espalhamento e acabamento deverá ser constituído de pavimentadoras automotrizes, capazes de espalhar e conformar a mistura no alinhamento, cotas e abaulamento requeridos. As acabadoras deverão ser equipadas com parafusos sem fim, para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O equipamento para compressão será constituído por rolo pneumático e rolo metálico liso, tipo tandem, ou outro equipamento aprovado pela fiscalização. Os rolos compressores, tipo tandem, devem ter uma carga de 8 a 12 toneladas. Os rolos pneumáticos, autopropulsores, devem ser dotados de pneus que permitam a calibragem de 35 a 120 libras por polegada quadrada.</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O equipamento em operação deve ser suficiente para comprimir a mistura à densidade requerida, enquanto está se encontrar em condições de trabalhabilidade.</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Os caminhões basculantes para o transporte da mistura, deverão ter caçambas metálicas robustas, limpas e lisas, ligeiramente lubrificadas com água e sabão, óleo cru fino, óleo parafínico, ou solução de cal, de modo a evitar a aderência da mistura às chapas.</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A distribuição do CBUQ deve ser feita por máquinas acabadoras, conforme já descrito.</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Caso ocorram irregularidades na superfície da camada, estas deverão ser sanadas pela adição manual de CBUQ, sendo o espalhamento efetuado por meio de ancinhos e rodos metálicos.</w:t>
      </w:r>
    </w:p>
    <w:p w:rsidR="00547879" w:rsidRPr="00007F2A" w:rsidRDefault="00547879" w:rsidP="00547879">
      <w:pPr>
        <w:spacing w:line="336" w:lineRule="auto"/>
        <w:ind w:left="142"/>
        <w:jc w:val="both"/>
        <w:rPr>
          <w:rFonts w:ascii="Arial" w:hAnsi="Arial" w:cs="Arial"/>
          <w:sz w:val="21"/>
          <w:szCs w:val="21"/>
        </w:rPr>
      </w:pP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t>SINALIZAÇÃO HORIZONTAL</w:t>
      </w:r>
    </w:p>
    <w:p w:rsidR="00547879" w:rsidRPr="00007F2A"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Será executada a sinalização horizontal da pista de rolamento (</w:t>
      </w:r>
      <w:r>
        <w:rPr>
          <w:rFonts w:ascii="Arial" w:hAnsi="Arial" w:cs="Arial"/>
          <w:sz w:val="21"/>
          <w:szCs w:val="21"/>
        </w:rPr>
        <w:t>no eixo serão executadas 2 faixas contínuas e em cada lateral 01 faixa contínua</w:t>
      </w:r>
      <w:r w:rsidRPr="00007F2A">
        <w:rPr>
          <w:rFonts w:ascii="Arial" w:hAnsi="Arial" w:cs="Arial"/>
          <w:sz w:val="21"/>
          <w:szCs w:val="21"/>
        </w:rPr>
        <w:t>) de acordo com Normas do CONTRAN.</w:t>
      </w:r>
    </w:p>
    <w:p w:rsidR="00547879" w:rsidRDefault="00547879" w:rsidP="00547879">
      <w:pPr>
        <w:spacing w:line="336" w:lineRule="auto"/>
        <w:ind w:left="142"/>
        <w:jc w:val="both"/>
        <w:rPr>
          <w:rFonts w:ascii="Arial" w:hAnsi="Arial" w:cs="Arial"/>
          <w:sz w:val="21"/>
          <w:szCs w:val="21"/>
        </w:rPr>
      </w:pPr>
      <w:r w:rsidRPr="00007F2A">
        <w:rPr>
          <w:rFonts w:ascii="Arial" w:hAnsi="Arial" w:cs="Arial"/>
          <w:sz w:val="21"/>
          <w:szCs w:val="21"/>
        </w:rPr>
        <w:tab/>
        <w:t>- Faixa eixo da pista e</w:t>
      </w:r>
      <w:r>
        <w:rPr>
          <w:rFonts w:ascii="Arial" w:hAnsi="Arial" w:cs="Arial"/>
          <w:sz w:val="21"/>
          <w:szCs w:val="21"/>
        </w:rPr>
        <w:t xml:space="preserve"> nos bordos</w:t>
      </w:r>
      <w:r w:rsidRPr="00007F2A">
        <w:rPr>
          <w:rFonts w:ascii="Arial" w:hAnsi="Arial" w:cs="Arial"/>
          <w:sz w:val="21"/>
          <w:szCs w:val="21"/>
        </w:rPr>
        <w:t>, com espessura de 1</w:t>
      </w:r>
      <w:r>
        <w:rPr>
          <w:rFonts w:ascii="Arial" w:hAnsi="Arial" w:cs="Arial"/>
          <w:sz w:val="21"/>
          <w:szCs w:val="21"/>
        </w:rPr>
        <w:t>2</w:t>
      </w:r>
      <w:r w:rsidRPr="00007F2A">
        <w:rPr>
          <w:rFonts w:ascii="Arial" w:hAnsi="Arial" w:cs="Arial"/>
          <w:sz w:val="21"/>
          <w:szCs w:val="21"/>
        </w:rPr>
        <w:t>cm, extensão conforme projeto</w:t>
      </w:r>
      <w:r>
        <w:rPr>
          <w:rFonts w:ascii="Arial" w:hAnsi="Arial" w:cs="Arial"/>
          <w:sz w:val="21"/>
          <w:szCs w:val="21"/>
        </w:rPr>
        <w:t>.</w:t>
      </w:r>
    </w:p>
    <w:p w:rsidR="00547879" w:rsidRPr="00007F2A" w:rsidRDefault="00547879" w:rsidP="00547879">
      <w:pPr>
        <w:spacing w:line="336" w:lineRule="auto"/>
        <w:ind w:left="142"/>
        <w:jc w:val="both"/>
        <w:rPr>
          <w:rFonts w:ascii="Arial" w:hAnsi="Arial" w:cs="Arial"/>
          <w:sz w:val="21"/>
          <w:szCs w:val="21"/>
        </w:rPr>
      </w:pP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t>OBSERVAÇÕES FINAIS</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 A – Pavimento – revestimento – especificação de serviço DER-PR ESP21/91 e ou DNER-ES-P 22-71.</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 B – Pavimento pintura de ligação – verificar especificação de serviço DER-PR ES-71/91.</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 C – Composição da mistura para</w:t>
      </w:r>
      <w:r w:rsidR="00337843">
        <w:rPr>
          <w:rFonts w:ascii="Arial" w:hAnsi="Arial" w:cs="Arial"/>
          <w:sz w:val="21"/>
          <w:szCs w:val="21"/>
        </w:rPr>
        <w:t xml:space="preserve"> capa de rolamento</w:t>
      </w:r>
      <w:r w:rsidRPr="00007F2A">
        <w:rPr>
          <w:rFonts w:ascii="Arial" w:hAnsi="Arial" w:cs="Arial"/>
          <w:sz w:val="21"/>
          <w:szCs w:val="21"/>
        </w:rPr>
        <w:t xml:space="preserve"> deve-se atender os requisitos da </w:t>
      </w:r>
      <w:r w:rsidR="00EC01CD" w:rsidRPr="00EC01CD">
        <w:rPr>
          <w:rFonts w:ascii="Arial" w:hAnsi="Arial" w:cs="Arial"/>
          <w:b/>
          <w:sz w:val="21"/>
          <w:szCs w:val="21"/>
        </w:rPr>
        <w:t>F</w:t>
      </w:r>
      <w:r w:rsidRPr="00EC01CD">
        <w:rPr>
          <w:rFonts w:ascii="Arial" w:hAnsi="Arial" w:cs="Arial"/>
          <w:b/>
          <w:sz w:val="21"/>
          <w:szCs w:val="21"/>
        </w:rPr>
        <w:t>aixa “C”</w:t>
      </w:r>
      <w:r w:rsidRPr="00007F2A">
        <w:rPr>
          <w:rFonts w:ascii="Arial" w:hAnsi="Arial" w:cs="Arial"/>
          <w:sz w:val="21"/>
          <w:szCs w:val="21"/>
        </w:rPr>
        <w:t xml:space="preserve">, </w:t>
      </w:r>
      <w:r>
        <w:rPr>
          <w:rFonts w:ascii="Arial" w:hAnsi="Arial" w:cs="Arial"/>
          <w:sz w:val="21"/>
          <w:szCs w:val="21"/>
        </w:rPr>
        <w:t>de acordo com</w:t>
      </w:r>
      <w:r w:rsidRPr="00007F2A">
        <w:rPr>
          <w:rFonts w:ascii="Arial" w:hAnsi="Arial" w:cs="Arial"/>
          <w:sz w:val="21"/>
          <w:szCs w:val="21"/>
        </w:rPr>
        <w:t xml:space="preserve"> especificações de serviço DER-PR ES-P21/05.</w:t>
      </w:r>
    </w:p>
    <w:p w:rsidR="00547879" w:rsidRDefault="00547879" w:rsidP="00547879">
      <w:pPr>
        <w:spacing w:line="360" w:lineRule="auto"/>
        <w:ind w:left="142"/>
        <w:jc w:val="both"/>
        <w:rPr>
          <w:rFonts w:ascii="Arial" w:hAnsi="Arial" w:cs="Arial"/>
          <w:sz w:val="21"/>
          <w:szCs w:val="21"/>
        </w:rPr>
      </w:pPr>
    </w:p>
    <w:p w:rsidR="00BB3EC2" w:rsidRDefault="00BB3EC2" w:rsidP="00547879">
      <w:pPr>
        <w:spacing w:line="360" w:lineRule="auto"/>
        <w:ind w:left="142"/>
        <w:jc w:val="both"/>
        <w:rPr>
          <w:rFonts w:ascii="Arial" w:hAnsi="Arial" w:cs="Arial"/>
          <w:sz w:val="21"/>
          <w:szCs w:val="21"/>
        </w:rPr>
      </w:pPr>
    </w:p>
    <w:p w:rsidR="00BB3EC2" w:rsidRPr="00007F2A" w:rsidRDefault="00BB3EC2" w:rsidP="00547879">
      <w:pPr>
        <w:spacing w:line="360" w:lineRule="auto"/>
        <w:ind w:left="142"/>
        <w:jc w:val="both"/>
        <w:rPr>
          <w:rFonts w:ascii="Arial" w:hAnsi="Arial" w:cs="Arial"/>
          <w:sz w:val="21"/>
          <w:szCs w:val="21"/>
        </w:rPr>
      </w:pP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lastRenderedPageBreak/>
        <w:t>MATERIAL</w:t>
      </w:r>
    </w:p>
    <w:p w:rsidR="00547879" w:rsidRPr="00007F2A" w:rsidRDefault="00547879" w:rsidP="00547879">
      <w:pPr>
        <w:spacing w:line="360" w:lineRule="auto"/>
        <w:ind w:left="142"/>
        <w:jc w:val="both"/>
        <w:rPr>
          <w:rFonts w:ascii="Arial" w:hAnsi="Arial" w:cs="Arial"/>
          <w:b/>
          <w:sz w:val="21"/>
          <w:szCs w:val="21"/>
        </w:rPr>
      </w:pPr>
      <w:r w:rsidRPr="00007F2A">
        <w:rPr>
          <w:rFonts w:ascii="Arial" w:hAnsi="Arial" w:cs="Arial"/>
          <w:b/>
          <w:sz w:val="21"/>
          <w:szCs w:val="21"/>
        </w:rPr>
        <w:tab/>
        <w:t>8.1. Ligante Asfáltico</w:t>
      </w:r>
    </w:p>
    <w:p w:rsidR="00547879" w:rsidRDefault="00547879" w:rsidP="00547879">
      <w:pPr>
        <w:spacing w:line="360" w:lineRule="auto"/>
        <w:ind w:left="142"/>
        <w:jc w:val="both"/>
        <w:rPr>
          <w:rFonts w:ascii="Arial" w:hAnsi="Arial" w:cs="Arial"/>
          <w:sz w:val="21"/>
          <w:szCs w:val="21"/>
        </w:rPr>
      </w:pPr>
      <w:r w:rsidRPr="00007F2A">
        <w:rPr>
          <w:rFonts w:ascii="Arial" w:hAnsi="Arial" w:cs="Arial"/>
          <w:sz w:val="21"/>
          <w:szCs w:val="21"/>
        </w:rPr>
        <w:t>Conforme subitem 5.1.2b) DA ES-p28/05 E 5.1.1 DA ES-p21/05.</w:t>
      </w:r>
    </w:p>
    <w:p w:rsidR="00BB3EC2" w:rsidRPr="00007F2A" w:rsidRDefault="00BB3EC2" w:rsidP="00547879">
      <w:pPr>
        <w:spacing w:line="360" w:lineRule="auto"/>
        <w:ind w:left="142"/>
        <w:jc w:val="both"/>
        <w:rPr>
          <w:rFonts w:ascii="Arial" w:hAnsi="Arial" w:cs="Arial"/>
          <w:sz w:val="21"/>
          <w:szCs w:val="21"/>
        </w:rPr>
      </w:pPr>
    </w:p>
    <w:p w:rsidR="00547879" w:rsidRPr="00007F2A" w:rsidRDefault="00547879" w:rsidP="00547879">
      <w:pPr>
        <w:spacing w:line="360" w:lineRule="auto"/>
        <w:ind w:left="142"/>
        <w:jc w:val="both"/>
        <w:rPr>
          <w:rFonts w:ascii="Arial" w:hAnsi="Arial" w:cs="Arial"/>
          <w:b/>
          <w:sz w:val="21"/>
          <w:szCs w:val="21"/>
        </w:rPr>
      </w:pPr>
      <w:r w:rsidRPr="00007F2A">
        <w:rPr>
          <w:rFonts w:ascii="Arial" w:hAnsi="Arial" w:cs="Arial"/>
          <w:b/>
          <w:sz w:val="21"/>
          <w:szCs w:val="21"/>
        </w:rPr>
        <w:tab/>
        <w:t>8.2. Agregados</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Deverá ser empregada pedra britada como agregado graúdo.</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O agregado miúdo deverá ser composto parcialmente dos finos da britagem da rocha da pedreira indicado no projeto e, parcialmente, da areia proveniente do areal recomendado, as instalações deverão possuir equipamentos tipo tornado ou outro similar de forma a propiciar a redução da lamelaridade dos agregados graúdos e médios.</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Como material de enchimento, filler, deverá ser empregada a cal hidratada (CH-01), observando-se a relação filler-asfalto especificada adiante.</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Em nenhuma hipótese poderá haver excesso de pó aderido dos agregados britados. Para isto, cuidados especiais deverão ser tomados, principalmente se a pedreira for comercial e o agregado a ser britado estiver molhado.</w:t>
      </w:r>
    </w:p>
    <w:p w:rsidR="00547879" w:rsidRPr="00007F2A" w:rsidRDefault="00547879" w:rsidP="00547879">
      <w:pPr>
        <w:spacing w:line="360" w:lineRule="auto"/>
        <w:ind w:left="142"/>
        <w:jc w:val="both"/>
        <w:rPr>
          <w:rFonts w:ascii="Arial" w:hAnsi="Arial" w:cs="Arial"/>
          <w:b/>
          <w:sz w:val="21"/>
          <w:szCs w:val="21"/>
        </w:rPr>
      </w:pPr>
    </w:p>
    <w:p w:rsidR="00547879" w:rsidRPr="00007F2A" w:rsidRDefault="00547879" w:rsidP="00547879">
      <w:pPr>
        <w:spacing w:line="360" w:lineRule="auto"/>
        <w:ind w:left="142"/>
        <w:jc w:val="both"/>
        <w:rPr>
          <w:rFonts w:ascii="Arial" w:hAnsi="Arial" w:cs="Arial"/>
          <w:b/>
          <w:sz w:val="21"/>
          <w:szCs w:val="21"/>
        </w:rPr>
      </w:pPr>
      <w:r w:rsidRPr="00007F2A">
        <w:rPr>
          <w:rFonts w:ascii="Arial" w:hAnsi="Arial" w:cs="Arial"/>
          <w:b/>
          <w:sz w:val="21"/>
          <w:szCs w:val="21"/>
        </w:rPr>
        <w:tab/>
        <w:t>8.3.  Composição da Mistura</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 xml:space="preserve">O concreto Asfáltico Usinado a Quente com CAP 50/70 deverá seguir a especificação do DER/PR ES-P21/05 e deverá ser executada com composição granulométrica enquadrada na </w:t>
      </w:r>
      <w:r w:rsidR="00EC01CD">
        <w:rPr>
          <w:rFonts w:ascii="Arial" w:hAnsi="Arial" w:cs="Arial"/>
          <w:sz w:val="21"/>
          <w:szCs w:val="21"/>
        </w:rPr>
        <w:t>F</w:t>
      </w:r>
      <w:r w:rsidRPr="00007F2A">
        <w:rPr>
          <w:rFonts w:ascii="Arial" w:hAnsi="Arial" w:cs="Arial"/>
          <w:sz w:val="21"/>
          <w:szCs w:val="21"/>
        </w:rPr>
        <w:t xml:space="preserve">aixa </w:t>
      </w:r>
      <w:r w:rsidR="00EC01CD">
        <w:rPr>
          <w:rFonts w:ascii="Arial" w:hAnsi="Arial" w:cs="Arial"/>
          <w:sz w:val="21"/>
          <w:szCs w:val="21"/>
        </w:rPr>
        <w:t>“</w:t>
      </w:r>
      <w:r>
        <w:rPr>
          <w:rFonts w:ascii="Arial" w:hAnsi="Arial" w:cs="Arial"/>
          <w:sz w:val="21"/>
          <w:szCs w:val="21"/>
        </w:rPr>
        <w:t>C</w:t>
      </w:r>
      <w:r w:rsidR="00EC01CD">
        <w:rPr>
          <w:rFonts w:ascii="Arial" w:hAnsi="Arial" w:cs="Arial"/>
          <w:sz w:val="21"/>
          <w:szCs w:val="21"/>
        </w:rPr>
        <w:t>”</w:t>
      </w:r>
      <w:r w:rsidRPr="00007F2A">
        <w:rPr>
          <w:rFonts w:ascii="Arial" w:hAnsi="Arial" w:cs="Arial"/>
          <w:sz w:val="21"/>
          <w:szCs w:val="21"/>
        </w:rPr>
        <w:t>, na espessura indicada em projeto.</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Os projetos das misturas do C</w:t>
      </w:r>
      <w:r>
        <w:rPr>
          <w:rFonts w:ascii="Arial" w:hAnsi="Arial" w:cs="Arial"/>
          <w:sz w:val="21"/>
          <w:szCs w:val="21"/>
        </w:rPr>
        <w:t>B</w:t>
      </w:r>
      <w:r w:rsidRPr="00007F2A">
        <w:rPr>
          <w:rFonts w:ascii="Arial" w:hAnsi="Arial" w:cs="Arial"/>
          <w:sz w:val="21"/>
          <w:szCs w:val="21"/>
        </w:rPr>
        <w:t xml:space="preserve">UQ – </w:t>
      </w:r>
      <w:r w:rsidRPr="00EC01CD">
        <w:rPr>
          <w:rFonts w:ascii="Arial" w:hAnsi="Arial" w:cs="Arial"/>
          <w:b/>
          <w:sz w:val="21"/>
          <w:szCs w:val="21"/>
        </w:rPr>
        <w:t xml:space="preserve">Faixa </w:t>
      </w:r>
      <w:r w:rsidR="00EC01CD" w:rsidRPr="00EC01CD">
        <w:rPr>
          <w:rFonts w:ascii="Arial" w:hAnsi="Arial" w:cs="Arial"/>
          <w:b/>
          <w:sz w:val="21"/>
          <w:szCs w:val="21"/>
        </w:rPr>
        <w:t>“</w:t>
      </w:r>
      <w:r w:rsidRPr="00EC01CD">
        <w:rPr>
          <w:rFonts w:ascii="Arial" w:hAnsi="Arial" w:cs="Arial"/>
          <w:b/>
          <w:sz w:val="21"/>
          <w:szCs w:val="21"/>
        </w:rPr>
        <w:t>C</w:t>
      </w:r>
      <w:r w:rsidR="00EC01CD" w:rsidRPr="00EC01CD">
        <w:rPr>
          <w:rFonts w:ascii="Arial" w:hAnsi="Arial" w:cs="Arial"/>
          <w:b/>
          <w:sz w:val="21"/>
          <w:szCs w:val="21"/>
        </w:rPr>
        <w:t>”</w:t>
      </w:r>
      <w:r w:rsidR="00EC01CD">
        <w:rPr>
          <w:rFonts w:ascii="Arial" w:hAnsi="Arial" w:cs="Arial"/>
          <w:sz w:val="21"/>
          <w:szCs w:val="21"/>
        </w:rPr>
        <w:t>,</w:t>
      </w:r>
      <w:r w:rsidRPr="00007F2A">
        <w:rPr>
          <w:rFonts w:ascii="Arial" w:hAnsi="Arial" w:cs="Arial"/>
          <w:sz w:val="21"/>
          <w:szCs w:val="21"/>
        </w:rPr>
        <w:t xml:space="preserve">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este último o analisará num prazo máximo de 7(sete) dias úteis, caso não haja nenhuma correção a equipe do laboratório da empreiteira coletará 40 quilos nos silos frios da Usina de Asfalto dos agregados na mistura e após 7 dias o mesmo informará ao Gerente de Obras e Serviços sobre os resultados obtidos:</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lastRenderedPageBreak/>
        <w:tab/>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Na fase de produção do CBUQ deverá ser incorporado no silo frio a cal hidratada CH-1, como melhorador de adesividade em quantidade a ser determinada através do ensaio AASHTU-T 283 (danos por unidade induzida), com teor nunca inferior a 1,5%. Esses ensaios deverão ser elaborados:</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Seguindo ainda recomendações do Instituto de Asfalto Americano, o esqueleto granular da curva projetada deve ser verificado comparando-o com a Curva de “Fuller” (curva de densidade máxima para potência de 0,45). A curva projetada deve apresentar razoável afastamento da curva de “Fuller”, para que tenha V.A.M. suficiente para agregar o CAP, sem que a massa fuja as especificações no que tange a Vazios e R.B.V.</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A fração retida entre duas peneiras consecutivas não deverá ser inferior a 4%, com exceção das duas primeiras.</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Na definição da composição granulométrica dos agregados deverá ser obtida a curva granulométrica, aferida para todas as peneiras descritas, que não intercepte a curva de Fuller-Talbot (curva de densidade máxima para potência 0,45), definida pela expressão: P=100x(d/D)0,45.</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Onde:</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P = porcentagem, em peso, passando na peneira de abertura de;</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D = tamanho máximo do agregado;</w:t>
      </w:r>
    </w:p>
    <w:p w:rsidR="00547879" w:rsidRDefault="00547879" w:rsidP="00547879">
      <w:pPr>
        <w:spacing w:line="360" w:lineRule="auto"/>
        <w:ind w:left="142"/>
        <w:jc w:val="both"/>
        <w:rPr>
          <w:rFonts w:ascii="Arial" w:hAnsi="Arial" w:cs="Arial"/>
          <w:sz w:val="21"/>
          <w:szCs w:val="21"/>
        </w:rPr>
      </w:pPr>
      <w:r w:rsidRPr="00007F2A">
        <w:rPr>
          <w:rFonts w:ascii="Arial" w:hAnsi="Arial" w:cs="Arial"/>
          <w:sz w:val="21"/>
          <w:szCs w:val="21"/>
        </w:rPr>
        <w:t>D = abertura nominal de cada peneira, em mm.</w:t>
      </w:r>
    </w:p>
    <w:p w:rsidR="00CB362B" w:rsidRDefault="00CB362B" w:rsidP="00547879">
      <w:pPr>
        <w:spacing w:line="360" w:lineRule="auto"/>
        <w:ind w:left="142"/>
        <w:jc w:val="both"/>
        <w:rPr>
          <w:rFonts w:ascii="Arial" w:hAnsi="Arial" w:cs="Arial"/>
          <w:sz w:val="21"/>
          <w:szCs w:val="21"/>
        </w:rPr>
      </w:pPr>
    </w:p>
    <w:p w:rsidR="00CB362B" w:rsidRPr="00007F2A" w:rsidRDefault="00CB362B" w:rsidP="00CB362B">
      <w:pPr>
        <w:numPr>
          <w:ilvl w:val="0"/>
          <w:numId w:val="1"/>
        </w:numPr>
        <w:spacing w:line="360" w:lineRule="auto"/>
        <w:ind w:left="142" w:firstLine="0"/>
        <w:contextualSpacing/>
        <w:jc w:val="both"/>
        <w:rPr>
          <w:rFonts w:ascii="Arial" w:hAnsi="Arial" w:cs="Arial"/>
          <w:b/>
          <w:sz w:val="21"/>
          <w:szCs w:val="21"/>
        </w:rPr>
      </w:pPr>
      <w:r>
        <w:rPr>
          <w:rFonts w:ascii="Arial" w:hAnsi="Arial" w:cs="Arial"/>
          <w:b/>
          <w:sz w:val="21"/>
          <w:szCs w:val="21"/>
        </w:rPr>
        <w:t>BORDOS DA PISTA</w:t>
      </w:r>
    </w:p>
    <w:p w:rsidR="00CB362B" w:rsidRDefault="00CB362B" w:rsidP="00547879">
      <w:pPr>
        <w:spacing w:line="360" w:lineRule="auto"/>
        <w:ind w:left="142"/>
        <w:jc w:val="both"/>
        <w:rPr>
          <w:rFonts w:ascii="Arial" w:hAnsi="Arial" w:cs="Arial"/>
          <w:sz w:val="21"/>
          <w:szCs w:val="21"/>
        </w:rPr>
      </w:pPr>
      <w:r w:rsidRPr="00007F2A">
        <w:rPr>
          <w:rFonts w:ascii="Arial" w:hAnsi="Arial" w:cs="Arial"/>
          <w:sz w:val="21"/>
          <w:szCs w:val="21"/>
        </w:rPr>
        <w:tab/>
      </w:r>
      <w:r>
        <w:rPr>
          <w:rFonts w:ascii="Arial" w:hAnsi="Arial" w:cs="Arial"/>
          <w:sz w:val="21"/>
          <w:szCs w:val="21"/>
        </w:rPr>
        <w:t>Os bordos da pista deverão ser limpos, retirando matéria orgânica e demais materiais que venham a prejudicar a nova pavimentação.</w:t>
      </w:r>
    </w:p>
    <w:p w:rsidR="00CB362B" w:rsidRPr="00007F2A" w:rsidRDefault="00CB362B" w:rsidP="00547879">
      <w:pPr>
        <w:spacing w:line="360" w:lineRule="auto"/>
        <w:ind w:left="142"/>
        <w:jc w:val="both"/>
        <w:rPr>
          <w:rFonts w:ascii="Arial" w:hAnsi="Arial" w:cs="Arial"/>
          <w:sz w:val="21"/>
          <w:szCs w:val="21"/>
        </w:rPr>
      </w:pPr>
      <w:r>
        <w:rPr>
          <w:rFonts w:ascii="Arial" w:hAnsi="Arial" w:cs="Arial"/>
          <w:sz w:val="21"/>
          <w:szCs w:val="21"/>
        </w:rPr>
        <w:tab/>
        <w:t>Executada a limpeza, faz-se a escavação lateral, paralela ao cordão de pedra, com largura de 50cm e profundidade de 20cm, em ambos os lados da estrada vicinal e em toda a extensão do trecho a ser recapeado, neste espaço será executada uma camada de macadame seco</w:t>
      </w:r>
      <w:r w:rsidR="005850BD">
        <w:rPr>
          <w:rFonts w:ascii="Arial" w:hAnsi="Arial" w:cs="Arial"/>
          <w:sz w:val="21"/>
          <w:szCs w:val="21"/>
        </w:rPr>
        <w:t xml:space="preserve"> britado</w:t>
      </w:r>
      <w:r>
        <w:rPr>
          <w:rFonts w:ascii="Arial" w:hAnsi="Arial" w:cs="Arial"/>
          <w:sz w:val="21"/>
          <w:szCs w:val="21"/>
        </w:rPr>
        <w:t xml:space="preserve"> (rachão)</w:t>
      </w:r>
      <w:r w:rsidR="005850BD">
        <w:rPr>
          <w:rFonts w:ascii="Arial" w:hAnsi="Arial" w:cs="Arial"/>
          <w:sz w:val="21"/>
          <w:szCs w:val="21"/>
        </w:rPr>
        <w:t xml:space="preserve"> preenchido com pó de pedra,</w:t>
      </w:r>
      <w:bookmarkStart w:id="0" w:name="_GoBack"/>
      <w:bookmarkEnd w:id="0"/>
      <w:r>
        <w:rPr>
          <w:rFonts w:ascii="Arial" w:hAnsi="Arial" w:cs="Arial"/>
          <w:sz w:val="21"/>
          <w:szCs w:val="21"/>
        </w:rPr>
        <w:t xml:space="preserve"> compactado, que servirá de base para a brita graduada.</w:t>
      </w:r>
    </w:p>
    <w:p w:rsidR="00547879" w:rsidRPr="00007F2A" w:rsidRDefault="00547879" w:rsidP="00547879">
      <w:pPr>
        <w:spacing w:line="360" w:lineRule="auto"/>
        <w:ind w:left="142"/>
        <w:jc w:val="both"/>
        <w:rPr>
          <w:rFonts w:ascii="Arial" w:hAnsi="Arial" w:cs="Arial"/>
          <w:sz w:val="21"/>
          <w:szCs w:val="21"/>
        </w:rPr>
      </w:pP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t>LIMPEZA FINAL DA OBRA</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 xml:space="preserve">Deverão ser previamente retirados todos os detritos e restos de materiais de todas as partes dos serviços, que serão removidos para o bota fora apropriado. </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Em seguida será feita uma varredura geral dos serviços com o emprego de serragem molhada ou outro artifício, para evitar formação de poeira.</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lastRenderedPageBreak/>
        <w:tab/>
        <w:t>A construtora que executará o recapeamento asfáltico deverá apresentar Laudo Técnico de Controle Tecnológico, apresentando os resultados dos ensaios realizados em cada etapa dos serviços conforme exigências normativas do D</w:t>
      </w:r>
      <w:r>
        <w:rPr>
          <w:rFonts w:ascii="Arial" w:hAnsi="Arial" w:cs="Arial"/>
          <w:sz w:val="21"/>
          <w:szCs w:val="21"/>
        </w:rPr>
        <w:t>ER-PR</w:t>
      </w:r>
      <w:r w:rsidRPr="00007F2A">
        <w:rPr>
          <w:rFonts w:ascii="Arial" w:hAnsi="Arial" w:cs="Arial"/>
          <w:sz w:val="21"/>
          <w:szCs w:val="21"/>
        </w:rPr>
        <w:t>.</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O Laudo Técnico e os resultados dos ensaios possibilitam o aparecimento de problemas precoces no pavimento, a identificação dos mesmos a fim de subsidiar os reparos de responsabilidade do ente contratado, bem como da responsabilidade solidária da empresa executara dos serviços de pavimentação e controle tecnológico.</w:t>
      </w:r>
    </w:p>
    <w:p w:rsidR="00547879" w:rsidRPr="00007F2A"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Juntamente com o Laudo de Controle Tecnológico deverá ser apresentada a Anotação de Responsabilidade Técnica (ART) com comprovante de pagamento e assinada pelo responsável técnico.</w:t>
      </w:r>
    </w:p>
    <w:p w:rsidR="00547879" w:rsidRDefault="00547879" w:rsidP="00547879">
      <w:pPr>
        <w:spacing w:line="360" w:lineRule="auto"/>
        <w:ind w:left="142"/>
        <w:jc w:val="both"/>
        <w:rPr>
          <w:rFonts w:ascii="Arial" w:hAnsi="Arial" w:cs="Arial"/>
          <w:sz w:val="21"/>
          <w:szCs w:val="21"/>
        </w:rPr>
      </w:pPr>
      <w:r w:rsidRPr="00007F2A">
        <w:rPr>
          <w:rFonts w:ascii="Arial" w:hAnsi="Arial" w:cs="Arial"/>
          <w:sz w:val="21"/>
          <w:szCs w:val="21"/>
        </w:rPr>
        <w:tab/>
        <w:t>A obra deverá ser entregue limpa e de conformidade com as especificações em projeto.</w:t>
      </w:r>
    </w:p>
    <w:p w:rsidR="00547879" w:rsidRDefault="00547879" w:rsidP="00547879">
      <w:pPr>
        <w:spacing w:line="360" w:lineRule="auto"/>
        <w:ind w:left="142"/>
        <w:jc w:val="both"/>
        <w:rPr>
          <w:rFonts w:ascii="Arial" w:hAnsi="Arial" w:cs="Arial"/>
          <w:sz w:val="21"/>
          <w:szCs w:val="21"/>
        </w:rPr>
      </w:pPr>
    </w:p>
    <w:p w:rsidR="00547879" w:rsidRPr="00007F2A" w:rsidRDefault="00547879" w:rsidP="00547879">
      <w:pPr>
        <w:numPr>
          <w:ilvl w:val="0"/>
          <w:numId w:val="1"/>
        </w:numPr>
        <w:spacing w:line="360" w:lineRule="auto"/>
        <w:ind w:left="142" w:firstLine="0"/>
        <w:contextualSpacing/>
        <w:jc w:val="both"/>
        <w:rPr>
          <w:rFonts w:ascii="Arial" w:hAnsi="Arial" w:cs="Arial"/>
          <w:b/>
          <w:sz w:val="21"/>
          <w:szCs w:val="21"/>
        </w:rPr>
      </w:pPr>
      <w:r w:rsidRPr="00007F2A">
        <w:rPr>
          <w:rFonts w:ascii="Arial" w:hAnsi="Arial" w:cs="Arial"/>
          <w:b/>
          <w:sz w:val="21"/>
          <w:szCs w:val="21"/>
        </w:rPr>
        <w:t>DADOS E REFERÊNCIA</w:t>
      </w:r>
    </w:p>
    <w:p w:rsidR="00547879" w:rsidRDefault="00547879" w:rsidP="00547879">
      <w:pPr>
        <w:spacing w:line="360" w:lineRule="auto"/>
        <w:ind w:left="142"/>
        <w:jc w:val="both"/>
        <w:rPr>
          <w:rFonts w:ascii="Arial" w:hAnsi="Arial" w:cs="Arial"/>
          <w:sz w:val="21"/>
          <w:szCs w:val="21"/>
        </w:rPr>
      </w:pPr>
      <w:r>
        <w:rPr>
          <w:rFonts w:ascii="Arial" w:hAnsi="Arial" w:cs="Arial"/>
          <w:sz w:val="21"/>
          <w:szCs w:val="21"/>
        </w:rPr>
        <w:tab/>
        <w:t xml:space="preserve">O levantamento do trecho </w:t>
      </w:r>
      <w:r w:rsidRPr="00007F2A">
        <w:rPr>
          <w:rFonts w:ascii="Arial" w:hAnsi="Arial" w:cs="Arial"/>
          <w:sz w:val="21"/>
          <w:szCs w:val="21"/>
        </w:rPr>
        <w:t>ser recapead</w:t>
      </w:r>
      <w:r>
        <w:rPr>
          <w:rFonts w:ascii="Arial" w:hAnsi="Arial" w:cs="Arial"/>
          <w:sz w:val="21"/>
          <w:szCs w:val="21"/>
        </w:rPr>
        <w:t>o</w:t>
      </w:r>
      <w:r w:rsidRPr="00007F2A">
        <w:rPr>
          <w:rFonts w:ascii="Arial" w:hAnsi="Arial" w:cs="Arial"/>
          <w:sz w:val="21"/>
          <w:szCs w:val="21"/>
        </w:rPr>
        <w:t xml:space="preserve"> com CBUQ foi executado "in loco" aferindo as dimensões, a referência para elaboração do orçamento foi utilizada a tabela do DER-PR de </w:t>
      </w:r>
      <w:r>
        <w:rPr>
          <w:rFonts w:ascii="Arial" w:hAnsi="Arial" w:cs="Arial"/>
          <w:sz w:val="21"/>
          <w:szCs w:val="21"/>
        </w:rPr>
        <w:t>junho</w:t>
      </w:r>
      <w:r w:rsidRPr="00007F2A">
        <w:rPr>
          <w:rFonts w:ascii="Arial" w:hAnsi="Arial" w:cs="Arial"/>
          <w:sz w:val="21"/>
          <w:szCs w:val="21"/>
        </w:rPr>
        <w:t xml:space="preserve"> de 201</w:t>
      </w:r>
      <w:r>
        <w:rPr>
          <w:rFonts w:ascii="Arial" w:hAnsi="Arial" w:cs="Arial"/>
          <w:sz w:val="21"/>
          <w:szCs w:val="21"/>
        </w:rPr>
        <w:t>8</w:t>
      </w:r>
      <w:r w:rsidRPr="00007F2A">
        <w:rPr>
          <w:rFonts w:ascii="Arial" w:hAnsi="Arial" w:cs="Arial"/>
          <w:sz w:val="21"/>
          <w:szCs w:val="21"/>
        </w:rPr>
        <w:t>.</w:t>
      </w:r>
    </w:p>
    <w:p w:rsidR="00547879" w:rsidRDefault="00547879" w:rsidP="00547879">
      <w:pPr>
        <w:spacing w:line="360" w:lineRule="auto"/>
        <w:ind w:left="142"/>
        <w:jc w:val="both"/>
        <w:rPr>
          <w:rFonts w:ascii="Arial" w:hAnsi="Arial" w:cs="Arial"/>
          <w:sz w:val="21"/>
          <w:szCs w:val="21"/>
        </w:rPr>
      </w:pPr>
      <w:r>
        <w:rPr>
          <w:rFonts w:ascii="Arial" w:hAnsi="Arial" w:cs="Arial"/>
          <w:sz w:val="21"/>
          <w:szCs w:val="21"/>
        </w:rPr>
        <w:tab/>
        <w:t>Os serviços executados deverão atender as especificações do DER-PR, atendendo as normas do DER-PR a serem seguidas para execução de serviços e definição dos materiais, conforme segue abaixo:</w:t>
      </w:r>
    </w:p>
    <w:p w:rsidR="00547879" w:rsidRDefault="00547879" w:rsidP="00547879">
      <w:pPr>
        <w:spacing w:line="360" w:lineRule="auto"/>
        <w:ind w:left="142"/>
        <w:jc w:val="both"/>
        <w:rPr>
          <w:rFonts w:ascii="Arial" w:hAnsi="Arial" w:cs="Arial"/>
          <w:sz w:val="21"/>
          <w:szCs w:val="21"/>
        </w:rPr>
      </w:pPr>
    </w:p>
    <w:p w:rsidR="00547879" w:rsidRDefault="00547879" w:rsidP="00547879">
      <w:pPr>
        <w:numPr>
          <w:ilvl w:val="0"/>
          <w:numId w:val="2"/>
        </w:numPr>
        <w:spacing w:line="360" w:lineRule="auto"/>
        <w:jc w:val="both"/>
        <w:rPr>
          <w:rFonts w:ascii="Arial" w:hAnsi="Arial" w:cs="Arial"/>
          <w:sz w:val="21"/>
          <w:szCs w:val="21"/>
        </w:rPr>
      </w:pPr>
      <w:r>
        <w:rPr>
          <w:rFonts w:ascii="Arial" w:hAnsi="Arial" w:cs="Arial"/>
          <w:sz w:val="21"/>
          <w:szCs w:val="21"/>
        </w:rPr>
        <w:t>DER-PR ES-P 03/05 – Macadame seco;</w:t>
      </w:r>
    </w:p>
    <w:p w:rsidR="00547879" w:rsidRDefault="00547879" w:rsidP="00547879">
      <w:pPr>
        <w:numPr>
          <w:ilvl w:val="0"/>
          <w:numId w:val="2"/>
        </w:numPr>
        <w:spacing w:line="360" w:lineRule="auto"/>
        <w:jc w:val="both"/>
        <w:rPr>
          <w:rFonts w:ascii="Arial" w:hAnsi="Arial" w:cs="Arial"/>
          <w:sz w:val="21"/>
          <w:szCs w:val="21"/>
        </w:rPr>
      </w:pPr>
      <w:r>
        <w:rPr>
          <w:rFonts w:ascii="Arial" w:hAnsi="Arial" w:cs="Arial"/>
          <w:sz w:val="21"/>
          <w:szCs w:val="21"/>
        </w:rPr>
        <w:t>DER-PR ES-P 05/05 – Brita Graduada;</w:t>
      </w:r>
    </w:p>
    <w:p w:rsidR="00547879" w:rsidRDefault="00547879" w:rsidP="00547879">
      <w:pPr>
        <w:numPr>
          <w:ilvl w:val="0"/>
          <w:numId w:val="2"/>
        </w:numPr>
        <w:spacing w:line="360" w:lineRule="auto"/>
        <w:jc w:val="both"/>
        <w:rPr>
          <w:rFonts w:ascii="Arial" w:hAnsi="Arial" w:cs="Arial"/>
          <w:sz w:val="21"/>
          <w:szCs w:val="21"/>
        </w:rPr>
      </w:pPr>
      <w:r>
        <w:rPr>
          <w:rFonts w:ascii="Arial" w:hAnsi="Arial" w:cs="Arial"/>
          <w:sz w:val="21"/>
          <w:szCs w:val="21"/>
        </w:rPr>
        <w:t>DER-PR ES-P 17/17 – Pinturas Asfálticas;</w:t>
      </w:r>
    </w:p>
    <w:p w:rsidR="00547879" w:rsidRDefault="00547879" w:rsidP="00547879">
      <w:pPr>
        <w:numPr>
          <w:ilvl w:val="0"/>
          <w:numId w:val="2"/>
        </w:numPr>
        <w:spacing w:line="360" w:lineRule="auto"/>
        <w:jc w:val="both"/>
        <w:rPr>
          <w:rFonts w:ascii="Arial" w:hAnsi="Arial" w:cs="Arial"/>
          <w:sz w:val="21"/>
          <w:szCs w:val="21"/>
        </w:rPr>
      </w:pPr>
      <w:r>
        <w:rPr>
          <w:rFonts w:ascii="Arial" w:hAnsi="Arial" w:cs="Arial"/>
          <w:sz w:val="21"/>
          <w:szCs w:val="21"/>
        </w:rPr>
        <w:t>DER-PR ES-P 21/17 – Concreto Asfáltico Usinado a Quente;</w:t>
      </w:r>
    </w:p>
    <w:p w:rsidR="00547879" w:rsidRDefault="00547879" w:rsidP="00547879">
      <w:pPr>
        <w:numPr>
          <w:ilvl w:val="0"/>
          <w:numId w:val="2"/>
        </w:numPr>
        <w:spacing w:line="360" w:lineRule="auto"/>
        <w:jc w:val="both"/>
        <w:rPr>
          <w:rFonts w:ascii="Arial" w:hAnsi="Arial" w:cs="Arial"/>
          <w:sz w:val="21"/>
          <w:szCs w:val="21"/>
        </w:rPr>
      </w:pPr>
      <w:r>
        <w:rPr>
          <w:rFonts w:ascii="Arial" w:hAnsi="Arial" w:cs="Arial"/>
          <w:sz w:val="21"/>
          <w:szCs w:val="21"/>
        </w:rPr>
        <w:t>DER-PR ES-OC 02/05 – Sinalização Horizontal com Tinta à Base de Resina Acrílica Emulsionada em Água, Retrorrefletiva;</w:t>
      </w:r>
    </w:p>
    <w:p w:rsidR="00547879" w:rsidRPr="00960F0B" w:rsidRDefault="00547879" w:rsidP="00547879">
      <w:pPr>
        <w:numPr>
          <w:ilvl w:val="0"/>
          <w:numId w:val="2"/>
        </w:numPr>
        <w:spacing w:line="360" w:lineRule="auto"/>
        <w:jc w:val="both"/>
        <w:rPr>
          <w:rFonts w:ascii="Arial" w:hAnsi="Arial" w:cs="Arial"/>
          <w:sz w:val="21"/>
          <w:szCs w:val="21"/>
        </w:rPr>
      </w:pPr>
      <w:r>
        <w:rPr>
          <w:rFonts w:ascii="Arial" w:hAnsi="Arial" w:cs="Arial"/>
          <w:sz w:val="21"/>
          <w:szCs w:val="21"/>
        </w:rPr>
        <w:t>DER-PR ES-OC 03/05 – Sinalização Horizontal com Tinta à Base de Resina Acrílica, Retrorrefletiva.</w:t>
      </w:r>
    </w:p>
    <w:p w:rsidR="00547879" w:rsidRPr="00007F2A" w:rsidRDefault="00547879" w:rsidP="00547879">
      <w:pPr>
        <w:spacing w:line="360" w:lineRule="auto"/>
        <w:ind w:left="142"/>
        <w:jc w:val="both"/>
        <w:rPr>
          <w:rFonts w:ascii="Arial" w:hAnsi="Arial" w:cs="Arial"/>
          <w:sz w:val="21"/>
          <w:szCs w:val="21"/>
        </w:rPr>
      </w:pPr>
    </w:p>
    <w:p w:rsidR="00547879" w:rsidRPr="00007F2A" w:rsidRDefault="00F96F09" w:rsidP="00547879">
      <w:pPr>
        <w:spacing w:line="360" w:lineRule="auto"/>
        <w:ind w:left="142"/>
        <w:jc w:val="center"/>
        <w:rPr>
          <w:rFonts w:ascii="Arial" w:hAnsi="Arial" w:cs="Arial"/>
          <w:sz w:val="21"/>
          <w:szCs w:val="21"/>
        </w:rPr>
      </w:pPr>
      <w:r>
        <w:rPr>
          <w:rFonts w:ascii="Arial" w:hAnsi="Arial" w:cs="Arial"/>
          <w:sz w:val="21"/>
          <w:szCs w:val="21"/>
        </w:rPr>
        <w:t>Mariópolis</w:t>
      </w:r>
      <w:r w:rsidR="00547879" w:rsidRPr="00007F2A">
        <w:rPr>
          <w:rFonts w:ascii="Arial" w:hAnsi="Arial" w:cs="Arial"/>
          <w:sz w:val="21"/>
          <w:szCs w:val="21"/>
        </w:rPr>
        <w:t>,</w:t>
      </w:r>
      <w:r w:rsidR="00547879">
        <w:rPr>
          <w:rFonts w:ascii="Arial" w:hAnsi="Arial" w:cs="Arial"/>
          <w:sz w:val="21"/>
          <w:szCs w:val="21"/>
        </w:rPr>
        <w:t xml:space="preserve"> </w:t>
      </w:r>
      <w:r w:rsidR="00BB3EC2">
        <w:rPr>
          <w:rFonts w:ascii="Arial" w:hAnsi="Arial" w:cs="Arial"/>
          <w:sz w:val="21"/>
          <w:szCs w:val="21"/>
        </w:rPr>
        <w:t>fevereiro</w:t>
      </w:r>
      <w:r w:rsidR="00547879" w:rsidRPr="00007F2A">
        <w:rPr>
          <w:rFonts w:ascii="Arial" w:hAnsi="Arial" w:cs="Arial"/>
          <w:sz w:val="21"/>
          <w:szCs w:val="21"/>
        </w:rPr>
        <w:t xml:space="preserve"> de 20</w:t>
      </w:r>
      <w:r w:rsidR="00BB3EC2">
        <w:rPr>
          <w:rFonts w:ascii="Arial" w:hAnsi="Arial" w:cs="Arial"/>
          <w:sz w:val="21"/>
          <w:szCs w:val="21"/>
        </w:rPr>
        <w:t>20</w:t>
      </w:r>
      <w:r w:rsidR="00547879" w:rsidRPr="00007F2A">
        <w:rPr>
          <w:rFonts w:ascii="Arial" w:hAnsi="Arial" w:cs="Arial"/>
          <w:sz w:val="21"/>
          <w:szCs w:val="21"/>
        </w:rPr>
        <w:t>.</w:t>
      </w:r>
    </w:p>
    <w:p w:rsidR="00547879" w:rsidRDefault="00547879" w:rsidP="00547879">
      <w:pPr>
        <w:spacing w:line="336" w:lineRule="auto"/>
        <w:ind w:left="142"/>
        <w:rPr>
          <w:rFonts w:ascii="Arial" w:hAnsi="Arial" w:cs="Arial"/>
          <w:sz w:val="21"/>
          <w:szCs w:val="21"/>
        </w:rPr>
      </w:pPr>
    </w:p>
    <w:p w:rsidR="00CB362B" w:rsidRDefault="00CB362B" w:rsidP="00547879">
      <w:pPr>
        <w:spacing w:line="336" w:lineRule="auto"/>
        <w:ind w:left="142"/>
        <w:rPr>
          <w:rFonts w:ascii="Arial" w:hAnsi="Arial" w:cs="Arial"/>
          <w:sz w:val="21"/>
          <w:szCs w:val="21"/>
        </w:rPr>
      </w:pPr>
    </w:p>
    <w:p w:rsidR="00547879" w:rsidRPr="00007F2A" w:rsidRDefault="00175F7C" w:rsidP="00547879">
      <w:pPr>
        <w:ind w:left="142"/>
        <w:jc w:val="center"/>
        <w:rPr>
          <w:rFonts w:ascii="Arial" w:hAnsi="Arial" w:cs="Arial"/>
          <w:i/>
          <w:sz w:val="21"/>
          <w:szCs w:val="21"/>
        </w:rPr>
      </w:pPr>
      <w:r>
        <w:rPr>
          <w:rFonts w:ascii="Arial" w:hAnsi="Arial" w:cs="Arial"/>
          <w:i/>
          <w:sz w:val="21"/>
          <w:szCs w:val="21"/>
        </w:rPr>
        <w:t>Bruno Gustavo Klein</w:t>
      </w:r>
    </w:p>
    <w:p w:rsidR="00547879" w:rsidRPr="00007F2A" w:rsidRDefault="00547879" w:rsidP="00547879">
      <w:pPr>
        <w:ind w:left="142"/>
        <w:jc w:val="center"/>
        <w:rPr>
          <w:rFonts w:ascii="Arial" w:hAnsi="Arial" w:cs="Arial"/>
          <w:i/>
          <w:sz w:val="21"/>
          <w:szCs w:val="21"/>
        </w:rPr>
      </w:pPr>
      <w:r w:rsidRPr="00007F2A">
        <w:rPr>
          <w:rFonts w:ascii="Arial" w:hAnsi="Arial" w:cs="Arial"/>
          <w:i/>
          <w:sz w:val="21"/>
          <w:szCs w:val="21"/>
        </w:rPr>
        <w:t>Engenheiro Civil</w:t>
      </w:r>
    </w:p>
    <w:p w:rsidR="00547879" w:rsidRDefault="00547879" w:rsidP="00547879">
      <w:pPr>
        <w:spacing w:line="336" w:lineRule="auto"/>
        <w:ind w:left="142"/>
        <w:jc w:val="center"/>
        <w:rPr>
          <w:rFonts w:ascii="Arial" w:hAnsi="Arial" w:cs="Arial"/>
          <w:sz w:val="21"/>
          <w:szCs w:val="21"/>
        </w:rPr>
      </w:pPr>
      <w:r w:rsidRPr="00007F2A">
        <w:rPr>
          <w:rFonts w:ascii="Arial" w:hAnsi="Arial" w:cs="Arial"/>
          <w:i/>
          <w:sz w:val="21"/>
          <w:szCs w:val="21"/>
        </w:rPr>
        <w:t>CREA PR-</w:t>
      </w:r>
      <w:r w:rsidR="00175F7C">
        <w:rPr>
          <w:rFonts w:ascii="Arial" w:hAnsi="Arial" w:cs="Arial"/>
          <w:i/>
          <w:sz w:val="21"/>
          <w:szCs w:val="21"/>
        </w:rPr>
        <w:t>134618</w:t>
      </w:r>
      <w:r w:rsidRPr="00007F2A">
        <w:rPr>
          <w:rFonts w:ascii="Arial" w:hAnsi="Arial" w:cs="Arial"/>
          <w:i/>
          <w:sz w:val="21"/>
          <w:szCs w:val="21"/>
        </w:rPr>
        <w:t>/D</w:t>
      </w:r>
    </w:p>
    <w:p w:rsidR="00F22010" w:rsidRPr="00547879" w:rsidRDefault="00F22010" w:rsidP="00547879"/>
    <w:sectPr w:rsidR="00F22010" w:rsidRPr="00547879" w:rsidSect="00C06C03">
      <w:headerReference w:type="default" r:id="rId7"/>
      <w:footerReference w:type="default" r:id="rId8"/>
      <w:pgSz w:w="11906" w:h="16838"/>
      <w:pgMar w:top="1134" w:right="124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96" w:rsidRDefault="00BB4896" w:rsidP="00AF71E0">
      <w:r>
        <w:separator/>
      </w:r>
    </w:p>
  </w:endnote>
  <w:endnote w:type="continuationSeparator" w:id="0">
    <w:p w:rsidR="00BB4896" w:rsidRDefault="00BB4896"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pPr>
      <w:pStyle w:val="Rodap"/>
    </w:pPr>
    <w:r>
      <w:rPr>
        <w:noProof/>
      </w:rPr>
      <w:drawing>
        <wp:inline distT="0" distB="0" distL="0" distR="0" wp14:anchorId="616386CA" wp14:editId="4236CBF3">
          <wp:extent cx="5434965" cy="4241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424180"/>
                  </a:xfrm>
                  <a:prstGeom prst="rect">
                    <a:avLst/>
                  </a:prstGeom>
                  <a:noFill/>
                  <a:ln>
                    <a:noFill/>
                  </a:ln>
                </pic:spPr>
              </pic:pic>
            </a:graphicData>
          </a:graphic>
        </wp:inline>
      </w:drawing>
    </w:r>
  </w:p>
  <w:p w:rsidR="00AF71E0" w:rsidRDefault="00AF71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96" w:rsidRDefault="00BB4896" w:rsidP="00AF71E0">
      <w:r>
        <w:separator/>
      </w:r>
    </w:p>
  </w:footnote>
  <w:footnote w:type="continuationSeparator" w:id="0">
    <w:p w:rsidR="00BB4896" w:rsidRDefault="00BB4896" w:rsidP="00A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pPr>
      <w:pStyle w:val="Cabealho"/>
    </w:pPr>
    <w:r>
      <w:rPr>
        <w:noProof/>
      </w:rPr>
      <w:drawing>
        <wp:inline distT="0" distB="0" distL="0" distR="0" wp14:anchorId="75205535" wp14:editId="7471C5DE">
          <wp:extent cx="6071616" cy="89977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616" cy="899770"/>
                  </a:xfrm>
                  <a:prstGeom prst="rect">
                    <a:avLst/>
                  </a:prstGeom>
                  <a:noFill/>
                  <a:ln>
                    <a:noFill/>
                  </a:ln>
                </pic:spPr>
              </pic:pic>
            </a:graphicData>
          </a:graphic>
        </wp:inline>
      </w:drawing>
    </w:r>
  </w:p>
  <w:p w:rsidR="00AF71E0" w:rsidRDefault="00AF71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1" w15:restartNumberingAfterBreak="0">
    <w:nsid w:val="7907535D"/>
    <w:multiLevelType w:val="hybridMultilevel"/>
    <w:tmpl w:val="4E6ABF38"/>
    <w:lvl w:ilvl="0" w:tplc="53068156">
      <w:start w:val="8"/>
      <w:numFmt w:val="bullet"/>
      <w:lvlText w:val=""/>
      <w:lvlJc w:val="left"/>
      <w:pPr>
        <w:ind w:left="502" w:hanging="360"/>
      </w:pPr>
      <w:rPr>
        <w:rFonts w:ascii="Wingdings" w:eastAsia="Times New Roman" w:hAnsi="Wingdings"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22532"/>
    <w:rsid w:val="000B141A"/>
    <w:rsid w:val="00175F7C"/>
    <w:rsid w:val="00337843"/>
    <w:rsid w:val="00460630"/>
    <w:rsid w:val="00477B65"/>
    <w:rsid w:val="00547879"/>
    <w:rsid w:val="005850BD"/>
    <w:rsid w:val="00854D64"/>
    <w:rsid w:val="00942965"/>
    <w:rsid w:val="00A1756C"/>
    <w:rsid w:val="00A80434"/>
    <w:rsid w:val="00AE15F6"/>
    <w:rsid w:val="00AF71E0"/>
    <w:rsid w:val="00B94E55"/>
    <w:rsid w:val="00BB3EC2"/>
    <w:rsid w:val="00BB4896"/>
    <w:rsid w:val="00BD1352"/>
    <w:rsid w:val="00C06C03"/>
    <w:rsid w:val="00C40576"/>
    <w:rsid w:val="00C66D64"/>
    <w:rsid w:val="00C726BE"/>
    <w:rsid w:val="00CB362B"/>
    <w:rsid w:val="00E639FD"/>
    <w:rsid w:val="00EC01CD"/>
    <w:rsid w:val="00F22010"/>
    <w:rsid w:val="00F663A3"/>
    <w:rsid w:val="00F96F09"/>
    <w:rsid w:val="00FE6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1F962-631C-4170-817F-D1837CD9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2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table" w:styleId="Tabelacomgrade">
    <w:name w:val="Table Grid"/>
    <w:basedOn w:val="Tabelanormal"/>
    <w:rsid w:val="00F663A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663A3"/>
    <w:pPr>
      <w:ind w:firstLine="708"/>
      <w:jc w:val="both"/>
    </w:pPr>
    <w:rPr>
      <w:sz w:val="28"/>
    </w:rPr>
  </w:style>
  <w:style w:type="character" w:customStyle="1" w:styleId="RecuodecorpodetextoChar">
    <w:name w:val="Recuo de corpo de texto Char"/>
    <w:basedOn w:val="Fontepargpadro"/>
    <w:link w:val="Recuodecorpodetexto"/>
    <w:rsid w:val="00F663A3"/>
    <w:rPr>
      <w:rFonts w:ascii="Times New Roman" w:eastAsia="Times New Roman" w:hAnsi="Times New Roman" w:cs="Times New Roman"/>
      <w:sz w:val="28"/>
      <w:szCs w:val="20"/>
      <w:lang w:eastAsia="pt-BR"/>
    </w:rPr>
  </w:style>
  <w:style w:type="paragraph" w:styleId="Ttulo">
    <w:name w:val="Title"/>
    <w:basedOn w:val="Normal"/>
    <w:link w:val="TtuloChar"/>
    <w:qFormat/>
    <w:rsid w:val="00F663A3"/>
    <w:pPr>
      <w:jc w:val="center"/>
    </w:pPr>
    <w:rPr>
      <w:b/>
      <w:bCs/>
      <w:sz w:val="32"/>
    </w:rPr>
  </w:style>
  <w:style w:type="character" w:customStyle="1" w:styleId="TtuloChar">
    <w:name w:val="Título Char"/>
    <w:basedOn w:val="Fontepargpadro"/>
    <w:link w:val="Ttulo"/>
    <w:rsid w:val="00F663A3"/>
    <w:rPr>
      <w:rFonts w:ascii="Times New Roman" w:eastAsia="Times New Roman" w:hAnsi="Times New Roman" w:cs="Times New Roman"/>
      <w:b/>
      <w:bCs/>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118</TotalTime>
  <Pages>1</Pages>
  <Words>2157</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cp:lastModifiedBy>
  <cp:revision>12</cp:revision>
  <cp:lastPrinted>2018-09-19T19:24:00Z</cp:lastPrinted>
  <dcterms:created xsi:type="dcterms:W3CDTF">2019-12-12T13:05:00Z</dcterms:created>
  <dcterms:modified xsi:type="dcterms:W3CDTF">2020-02-10T13:27:00Z</dcterms:modified>
</cp:coreProperties>
</file>